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F2023" w:rsidRDefault="006F2023"/>
    <w:p w14:paraId="0085E5F4" w14:textId="2BB9A5DE" w:rsidR="615E6F3C" w:rsidRDefault="615E6F3C" w:rsidP="615E6F3C">
      <w:pPr>
        <w:jc w:val="center"/>
        <w:rPr>
          <w:b/>
          <w:bCs/>
        </w:rPr>
      </w:pPr>
      <w:r w:rsidRPr="615E6F3C">
        <w:rPr>
          <w:b/>
          <w:bCs/>
        </w:rPr>
        <w:t>PROGRAMME D’APPUI AUX RELATIONS CANADIENNES (</w:t>
      </w:r>
      <w:proofErr w:type="gramStart"/>
      <w:r w:rsidRPr="615E6F3C">
        <w:rPr>
          <w:b/>
          <w:bCs/>
        </w:rPr>
        <w:t>PARC)</w:t>
      </w:r>
      <w:r w:rsidR="00904B21">
        <w:rPr>
          <w:b/>
          <w:bCs/>
        </w:rPr>
        <w:t xml:space="preserve">  Informations</w:t>
      </w:r>
      <w:proofErr w:type="gramEnd"/>
      <w:r w:rsidR="00904B21">
        <w:rPr>
          <w:b/>
          <w:bCs/>
        </w:rPr>
        <w:t xml:space="preserve"> importantes</w:t>
      </w:r>
    </w:p>
    <w:p w14:paraId="0A37501D" w14:textId="77777777" w:rsidR="00696A23" w:rsidRDefault="00696A23"/>
    <w:p w14:paraId="354163A5" w14:textId="77777777" w:rsidR="00904B21" w:rsidRDefault="00904B21"/>
    <w:p w14:paraId="613AA044" w14:textId="77777777" w:rsidR="00BD776E" w:rsidRPr="00904B21" w:rsidRDefault="615E6F3C" w:rsidP="008364CA">
      <w:pPr>
        <w:rPr>
          <w:b/>
          <w:bCs/>
        </w:rPr>
      </w:pPr>
      <w:r w:rsidRPr="00904B21">
        <w:rPr>
          <w:b/>
          <w:bCs/>
        </w:rPr>
        <w:t xml:space="preserve">Production du rapport final (le formulaire se trouve sur notre </w:t>
      </w:r>
      <w:hyperlink r:id="rId7">
        <w:r w:rsidRPr="000648C6">
          <w:rPr>
            <w:b/>
            <w:bCs/>
          </w:rPr>
          <w:t>site Web</w:t>
        </w:r>
      </w:hyperlink>
      <w:r w:rsidRPr="00904B21">
        <w:rPr>
          <w:b/>
          <w:bCs/>
        </w:rPr>
        <w:t>) :</w:t>
      </w:r>
    </w:p>
    <w:p w14:paraId="6A05A809" w14:textId="77777777" w:rsidR="00ED3381" w:rsidRPr="00BD776E" w:rsidRDefault="00ED3381" w:rsidP="00BD776E"/>
    <w:p w14:paraId="070FBC1B" w14:textId="77777777" w:rsidR="00BD776E" w:rsidRDefault="615E6F3C">
      <w:r>
        <w:t xml:space="preserve">Le rapport final doit être transmis au plus tard </w:t>
      </w:r>
      <w:r w:rsidRPr="615E6F3C">
        <w:rPr>
          <w:b/>
          <w:bCs/>
        </w:rPr>
        <w:t>trois mois</w:t>
      </w:r>
      <w:r>
        <w:t xml:space="preserve"> après la réalisation du projet et il doit comporter les éléments suivants :</w:t>
      </w:r>
    </w:p>
    <w:p w14:paraId="5A39BBE3" w14:textId="77777777" w:rsidR="00ED3381" w:rsidRDefault="00ED3381"/>
    <w:p w14:paraId="736DC583" w14:textId="77777777" w:rsidR="00ED3381" w:rsidRDefault="615E6F3C" w:rsidP="00457ADA">
      <w:pPr>
        <w:pStyle w:val="Paragraphedeliste"/>
        <w:numPr>
          <w:ilvl w:val="1"/>
          <w:numId w:val="3"/>
        </w:numPr>
        <w:ind w:left="851" w:hanging="425"/>
      </w:pPr>
      <w:r>
        <w:t>Bilan des principales activités réalisées.</w:t>
      </w:r>
    </w:p>
    <w:p w14:paraId="41C8F396" w14:textId="77777777" w:rsidR="00D42265" w:rsidRDefault="00D42265" w:rsidP="00D42265">
      <w:pPr>
        <w:pStyle w:val="Paragraphedeliste"/>
        <w:ind w:left="426"/>
      </w:pPr>
    </w:p>
    <w:p w14:paraId="741A3E36" w14:textId="77777777" w:rsidR="00ED3381" w:rsidRDefault="615E6F3C" w:rsidP="00457ADA">
      <w:pPr>
        <w:pStyle w:val="Paragraphedeliste"/>
        <w:numPr>
          <w:ilvl w:val="1"/>
          <w:numId w:val="3"/>
        </w:numPr>
        <w:ind w:left="851" w:hanging="425"/>
      </w:pPr>
      <w:r>
        <w:t>Description de la nature de la participation québécoise.</w:t>
      </w:r>
    </w:p>
    <w:p w14:paraId="47015459" w14:textId="77777777" w:rsidR="00D42265" w:rsidRPr="00AD4F0B" w:rsidRDefault="615E6F3C" w:rsidP="00086A8C">
      <w:pPr>
        <w:pStyle w:val="Paragraphedeliste"/>
        <w:numPr>
          <w:ilvl w:val="0"/>
          <w:numId w:val="7"/>
        </w:numPr>
        <w:ind w:left="1418" w:hanging="284"/>
      </w:pPr>
      <w:r w:rsidRPr="615E6F3C">
        <w:rPr>
          <w:b/>
          <w:bCs/>
        </w:rPr>
        <w:t>Identité, nombre et origine des participants</w:t>
      </w:r>
    </w:p>
    <w:p w14:paraId="72A3D3EC" w14:textId="77777777" w:rsidR="00AD4F0B" w:rsidRDefault="00AD4F0B" w:rsidP="00AD4F0B">
      <w:pPr>
        <w:pStyle w:val="Paragraphedeliste"/>
        <w:ind w:left="1146"/>
        <w:rPr>
          <w:b/>
        </w:rPr>
      </w:pPr>
    </w:p>
    <w:p w14:paraId="0F72AAE3" w14:textId="77777777" w:rsidR="00AD4F0B" w:rsidRPr="00AD4F0B" w:rsidRDefault="615E6F3C" w:rsidP="00086A8C">
      <w:pPr>
        <w:pStyle w:val="Paragraphedeliste"/>
        <w:numPr>
          <w:ilvl w:val="1"/>
          <w:numId w:val="3"/>
        </w:numPr>
        <w:ind w:left="851" w:hanging="425"/>
      </w:pPr>
      <w:r>
        <w:t>Rayonnement.</w:t>
      </w:r>
    </w:p>
    <w:p w14:paraId="2BF3BDB8" w14:textId="77777777" w:rsidR="00AD4F0B" w:rsidRDefault="615E6F3C" w:rsidP="615E6F3C">
      <w:pPr>
        <w:pStyle w:val="Paragraphedeliste"/>
        <w:numPr>
          <w:ilvl w:val="0"/>
          <w:numId w:val="7"/>
        </w:numPr>
        <w:ind w:left="1418" w:hanging="284"/>
        <w:rPr>
          <w:b/>
          <w:bCs/>
        </w:rPr>
      </w:pPr>
      <w:r w:rsidRPr="615E6F3C">
        <w:rPr>
          <w:b/>
          <w:bCs/>
        </w:rPr>
        <w:t>Auditoire, retombées médiatiques, etc.</w:t>
      </w:r>
    </w:p>
    <w:p w14:paraId="0D0B940D" w14:textId="77777777" w:rsidR="00086A8C" w:rsidRDefault="00086A8C" w:rsidP="00086A8C">
      <w:pPr>
        <w:pStyle w:val="Paragraphedeliste"/>
        <w:ind w:left="1418"/>
        <w:rPr>
          <w:b/>
        </w:rPr>
      </w:pPr>
    </w:p>
    <w:p w14:paraId="6EA294D1" w14:textId="77777777" w:rsidR="00086A8C" w:rsidRDefault="615E6F3C" w:rsidP="00086A8C">
      <w:pPr>
        <w:pStyle w:val="Paragraphedeliste"/>
        <w:numPr>
          <w:ilvl w:val="1"/>
          <w:numId w:val="3"/>
        </w:numPr>
        <w:ind w:left="851" w:hanging="425"/>
      </w:pPr>
      <w:r>
        <w:t>Description des résultats obtenus en regard des objectifs initiaux du projet et des objectifs du Programme.</w:t>
      </w:r>
    </w:p>
    <w:p w14:paraId="0E27B00A" w14:textId="77777777" w:rsidR="00086A8C" w:rsidRDefault="00086A8C" w:rsidP="00086A8C">
      <w:pPr>
        <w:pStyle w:val="Paragraphedeliste"/>
        <w:ind w:left="851"/>
      </w:pPr>
    </w:p>
    <w:p w14:paraId="356118CB" w14:textId="77777777" w:rsidR="00086A8C" w:rsidRDefault="615E6F3C" w:rsidP="00086A8C">
      <w:pPr>
        <w:pStyle w:val="Paragraphedeliste"/>
        <w:numPr>
          <w:ilvl w:val="1"/>
          <w:numId w:val="3"/>
        </w:numPr>
        <w:ind w:left="851" w:hanging="425"/>
      </w:pPr>
      <w:r>
        <w:t>Description de la visibilité accordée au gouvernement du Québec.</w:t>
      </w:r>
    </w:p>
    <w:p w14:paraId="60061E4C" w14:textId="77777777" w:rsidR="000A667F" w:rsidRDefault="000A667F" w:rsidP="000A667F">
      <w:pPr>
        <w:pStyle w:val="Paragraphedeliste"/>
      </w:pPr>
    </w:p>
    <w:p w14:paraId="154FC4D9" w14:textId="77777777" w:rsidR="000A667F" w:rsidRDefault="615E6F3C" w:rsidP="00086A8C">
      <w:pPr>
        <w:pStyle w:val="Paragraphedeliste"/>
        <w:numPr>
          <w:ilvl w:val="1"/>
          <w:numId w:val="3"/>
        </w:numPr>
        <w:ind w:left="851" w:hanging="425"/>
      </w:pPr>
      <w:r>
        <w:t xml:space="preserve">Bilan financier détaillé (fichier Excel accessible sur le </w:t>
      </w:r>
      <w:r w:rsidRPr="000648C6">
        <w:t>site Web</w:t>
      </w:r>
      <w:r>
        <w:t>).</w:t>
      </w:r>
    </w:p>
    <w:p w14:paraId="44EAFD9C" w14:textId="77777777" w:rsidR="000A667F" w:rsidRDefault="000A667F" w:rsidP="000A667F">
      <w:pPr>
        <w:pStyle w:val="Paragraphedeliste"/>
      </w:pPr>
    </w:p>
    <w:p w14:paraId="304B2490" w14:textId="77777777" w:rsidR="000A667F" w:rsidRDefault="615E6F3C" w:rsidP="00086A8C">
      <w:pPr>
        <w:pStyle w:val="Paragraphedeliste"/>
        <w:numPr>
          <w:ilvl w:val="1"/>
          <w:numId w:val="3"/>
        </w:numPr>
        <w:ind w:left="851" w:hanging="425"/>
      </w:pPr>
      <w:r>
        <w:t xml:space="preserve">Pour le </w:t>
      </w:r>
      <w:r w:rsidRPr="615E6F3C">
        <w:rPr>
          <w:b/>
          <w:bCs/>
        </w:rPr>
        <w:t>volet 1 Échange d’expertise</w:t>
      </w:r>
      <w:r>
        <w:t xml:space="preserve"> seulement : copie des pièces justificatives des frais de participation des experts québécois aux activités (preuves de participation, copie des factures des frais de déplacement et de séjour ainsi que des frais de traduction ou de production d’outils ou de supports, le cas échéant).</w:t>
      </w:r>
    </w:p>
    <w:p w14:paraId="4B94D5A5" w14:textId="77777777" w:rsidR="000A667F" w:rsidRDefault="000A667F" w:rsidP="000A667F">
      <w:pPr>
        <w:pStyle w:val="Paragraphedeliste"/>
      </w:pPr>
    </w:p>
    <w:p w14:paraId="536A6A0F" w14:textId="77777777" w:rsidR="000A667F" w:rsidRDefault="615E6F3C" w:rsidP="00086A8C">
      <w:pPr>
        <w:pStyle w:val="Paragraphedeliste"/>
        <w:numPr>
          <w:ilvl w:val="1"/>
          <w:numId w:val="3"/>
        </w:numPr>
        <w:ind w:left="851" w:hanging="425"/>
      </w:pPr>
      <w:r>
        <w:t>Signature d’un dirigeant de chacun des organismes demandeurs.</w:t>
      </w:r>
    </w:p>
    <w:p w14:paraId="3DEEC669" w14:textId="77777777" w:rsidR="00515C1B" w:rsidRDefault="00515C1B" w:rsidP="00515C1B">
      <w:pPr>
        <w:pStyle w:val="Paragraphedeliste"/>
      </w:pPr>
    </w:p>
    <w:p w14:paraId="36C2C249" w14:textId="77777777" w:rsidR="006E7E99" w:rsidRDefault="615E6F3C" w:rsidP="00086A8C">
      <w:pPr>
        <w:pStyle w:val="Paragraphedeliste"/>
        <w:numPr>
          <w:ilvl w:val="1"/>
          <w:numId w:val="3"/>
        </w:numPr>
        <w:ind w:left="851" w:hanging="425"/>
      </w:pPr>
      <w:r>
        <w:t xml:space="preserve">Pour toute subvention de plus de 50 000 $ : des états financiers vérifiés. Les frais de vérification comptable sont admissibles au remboursement. </w:t>
      </w:r>
    </w:p>
    <w:p w14:paraId="3656B9AB" w14:textId="77777777" w:rsidR="006E7E99" w:rsidRDefault="006E7E99" w:rsidP="006E7E99">
      <w:pPr>
        <w:pStyle w:val="Paragraphedeliste"/>
      </w:pPr>
    </w:p>
    <w:p w14:paraId="35D0F75E" w14:textId="77777777" w:rsidR="00515C1B" w:rsidRDefault="615E6F3C" w:rsidP="006E7E99">
      <w:pPr>
        <w:pStyle w:val="Paragraphedeliste"/>
        <w:ind w:left="851"/>
      </w:pPr>
      <w:r>
        <w:t xml:space="preserve">Le SQRC peut demander </w:t>
      </w:r>
      <w:r w:rsidRPr="615E6F3C">
        <w:rPr>
          <w:b/>
          <w:bCs/>
        </w:rPr>
        <w:t>en tout temps</w:t>
      </w:r>
      <w:r>
        <w:t xml:space="preserve"> des états financiers vérifiés ou tout autre document qu’il juge nécessaire pour procéder à la vérification des pièces justificatives et des renseignements fournis par l’organisme.</w:t>
      </w:r>
    </w:p>
    <w:p w14:paraId="45FB0818" w14:textId="77777777" w:rsidR="00515C1B" w:rsidRDefault="00515C1B" w:rsidP="00515C1B">
      <w:pPr>
        <w:pStyle w:val="Paragraphedeliste"/>
      </w:pPr>
    </w:p>
    <w:p w14:paraId="147CF4A5" w14:textId="7071ABB0" w:rsidR="00D50985" w:rsidRDefault="615E6F3C" w:rsidP="00D50985">
      <w:pPr>
        <w:pStyle w:val="Paragraphedeliste"/>
        <w:numPr>
          <w:ilvl w:val="1"/>
          <w:numId w:val="3"/>
        </w:numPr>
        <w:ind w:left="851" w:hanging="425"/>
      </w:pPr>
      <w:r>
        <w:t xml:space="preserve">Fournir les données bancaires de l’organisme demandeur </w:t>
      </w:r>
      <w:proofErr w:type="gramStart"/>
      <w:r w:rsidR="00904B21">
        <w:t>pour</w:t>
      </w:r>
      <w:r>
        <w:t xml:space="preserve">  virement</w:t>
      </w:r>
      <w:proofErr w:type="gramEnd"/>
      <w:r>
        <w:t xml:space="preserve"> bancaire.</w:t>
      </w:r>
    </w:p>
    <w:p w14:paraId="0562CB0E" w14:textId="6D73785A" w:rsidR="00232EF8" w:rsidRDefault="00232EF8">
      <w:pPr>
        <w:jc w:val="left"/>
      </w:pPr>
      <w:bookmarkStart w:id="0" w:name="_GoBack"/>
      <w:bookmarkEnd w:id="0"/>
      <w:r>
        <w:br w:type="page"/>
      </w:r>
    </w:p>
    <w:p w14:paraId="6E7BB5B4" w14:textId="77777777" w:rsidR="00232EF8" w:rsidRDefault="615E6F3C" w:rsidP="615E6F3C">
      <w:pPr>
        <w:pStyle w:val="Paragraphedeliste"/>
        <w:ind w:left="284"/>
        <w:jc w:val="center"/>
        <w:rPr>
          <w:b/>
          <w:bCs/>
        </w:rPr>
      </w:pPr>
      <w:r w:rsidRPr="615E6F3C">
        <w:rPr>
          <w:b/>
          <w:bCs/>
        </w:rPr>
        <w:lastRenderedPageBreak/>
        <w:t>Précisions concernant la règle de cumul de l’aide publique</w:t>
      </w:r>
    </w:p>
    <w:p w14:paraId="34CE0A41" w14:textId="77777777" w:rsidR="00232EF8" w:rsidRDefault="00232EF8" w:rsidP="006E7E99">
      <w:pPr>
        <w:pStyle w:val="Paragraphedeliste"/>
        <w:ind w:left="851"/>
      </w:pPr>
    </w:p>
    <w:p w14:paraId="62EBF3C5" w14:textId="77777777" w:rsidR="005D60FA" w:rsidRDefault="005D60FA" w:rsidP="006E7E99">
      <w:pPr>
        <w:pStyle w:val="Paragraphedeliste"/>
        <w:ind w:left="851"/>
      </w:pPr>
    </w:p>
    <w:p w14:paraId="43D2FF8A" w14:textId="686877C2" w:rsidR="005D60FA" w:rsidRDefault="615E6F3C" w:rsidP="00EC3FF5">
      <w:pPr>
        <w:pStyle w:val="Paragraphedeliste"/>
        <w:ind w:left="284"/>
      </w:pPr>
      <w:r>
        <w:t>Un projet soutenu financièrement par l’entremise du Programme d’appui aux relations canadiennes du SQRC doit respecter certaines règles. Le montant de la subvention maximale qui vous a été accordée tient compte de ces règles. Le SQRC procèdera à la vérification du respect de celles-ci lors de l’analyse du bilan financier détaillé de votre projet.</w:t>
      </w:r>
    </w:p>
    <w:p w14:paraId="6BB3F8D8" w14:textId="77777777" w:rsidR="0078692A" w:rsidRDefault="0078692A" w:rsidP="00A84175"/>
    <w:p w14:paraId="6D98A12B" w14:textId="5144F30F" w:rsidR="00A84175" w:rsidRDefault="615E6F3C" w:rsidP="0078692A">
      <w:pPr>
        <w:ind w:firstLine="284"/>
      </w:pPr>
      <w:r>
        <w:t>En particulier :</w:t>
      </w:r>
    </w:p>
    <w:p w14:paraId="17277B46" w14:textId="77777777" w:rsidR="0078692A" w:rsidRDefault="0078692A" w:rsidP="0078692A">
      <w:pPr>
        <w:ind w:left="284"/>
      </w:pPr>
    </w:p>
    <w:p w14:paraId="688ADF3E" w14:textId="3E90A5B0" w:rsidR="000C0776" w:rsidRDefault="615E6F3C" w:rsidP="0078692A">
      <w:pPr>
        <w:ind w:left="284"/>
      </w:pPr>
      <w:r>
        <w:t>Les subventions publiques ne peuvent dépasser 80 % des dépenses totales admissibles liées à la réalisation du projet. Aux fins de ce calcul, sont considérées comme des subventions publiques :</w:t>
      </w:r>
    </w:p>
    <w:p w14:paraId="2B027546" w14:textId="77777777" w:rsidR="00B41CCC" w:rsidRDefault="615E6F3C" w:rsidP="00441E05">
      <w:pPr>
        <w:pStyle w:val="Paragraphedeliste"/>
        <w:numPr>
          <w:ilvl w:val="2"/>
          <w:numId w:val="11"/>
        </w:numPr>
        <w:spacing w:before="60"/>
        <w:ind w:left="1701" w:hanging="283"/>
        <w:contextualSpacing w:val="0"/>
      </w:pPr>
      <w:proofErr w:type="gramStart"/>
      <w:r>
        <w:t>la</w:t>
      </w:r>
      <w:proofErr w:type="gramEnd"/>
      <w:r>
        <w:t xml:space="preserve"> subvention accordée par l’entremise du PARC;</w:t>
      </w:r>
    </w:p>
    <w:p w14:paraId="63E56604" w14:textId="77777777" w:rsidR="000C0776" w:rsidRDefault="615E6F3C" w:rsidP="00441E05">
      <w:pPr>
        <w:pStyle w:val="Paragraphedeliste"/>
        <w:numPr>
          <w:ilvl w:val="2"/>
          <w:numId w:val="11"/>
        </w:numPr>
        <w:ind w:left="1701" w:hanging="283"/>
      </w:pPr>
      <w:proofErr w:type="gramStart"/>
      <w:r>
        <w:t>l’aide</w:t>
      </w:r>
      <w:proofErr w:type="gramEnd"/>
      <w:r>
        <w:t xml:space="preserve"> financière provenant du secteur municipal au Québec (Ville de Saguenay, Ville de Québec, etc.);</w:t>
      </w:r>
    </w:p>
    <w:p w14:paraId="2F88F993" w14:textId="16C98DEA" w:rsidR="000C0776" w:rsidRDefault="615E6F3C" w:rsidP="00441E05">
      <w:pPr>
        <w:pStyle w:val="Paragraphedeliste"/>
        <w:numPr>
          <w:ilvl w:val="2"/>
          <w:numId w:val="11"/>
        </w:numPr>
        <w:ind w:left="1701" w:hanging="283"/>
      </w:pPr>
      <w:proofErr w:type="gramStart"/>
      <w:r>
        <w:t>l’aide</w:t>
      </w:r>
      <w:proofErr w:type="gramEnd"/>
      <w:r>
        <w:t xml:space="preserve"> financière provenant des ministères et organismes du gouvernement du Québec (ministère de la Culture et des Communications, etc.);</w:t>
      </w:r>
    </w:p>
    <w:p w14:paraId="786656B5" w14:textId="27541122" w:rsidR="000C0776" w:rsidRDefault="615E6F3C" w:rsidP="00441E05">
      <w:pPr>
        <w:pStyle w:val="Paragraphedeliste"/>
        <w:numPr>
          <w:ilvl w:val="2"/>
          <w:numId w:val="11"/>
        </w:numPr>
        <w:ind w:left="1701" w:hanging="283"/>
      </w:pPr>
      <w:proofErr w:type="gramStart"/>
      <w:r>
        <w:t>l’aide</w:t>
      </w:r>
      <w:proofErr w:type="gramEnd"/>
      <w:r>
        <w:t xml:space="preserve"> financière provenant des ministères et organismes du gouvernement fédéral canadien (Patrimoine canadien, etc.).</w:t>
      </w:r>
    </w:p>
    <w:p w14:paraId="2946DB82" w14:textId="77777777" w:rsidR="00B41CCC" w:rsidRDefault="00B41CCC" w:rsidP="00B41CCC">
      <w:pPr>
        <w:pStyle w:val="Paragraphedeliste"/>
        <w:ind w:left="1931"/>
      </w:pPr>
    </w:p>
    <w:p w14:paraId="5C72B25A" w14:textId="4C8ECD62" w:rsidR="615E6F3C" w:rsidRDefault="615E6F3C" w:rsidP="615E6F3C">
      <w:pPr>
        <w:pStyle w:val="Paragraphedeliste"/>
        <w:ind w:left="284"/>
      </w:pPr>
      <w:r>
        <w:t>Ainsi, les subventions publiques octroyées par d'autres gouvernements ou organismes provinciaux ou par des municipalités à l'extérieur du Québec ne sont pas comptabilisées dans ce calcul.</w:t>
      </w:r>
    </w:p>
    <w:p w14:paraId="43249335" w14:textId="3CDDD54F" w:rsidR="615E6F3C" w:rsidRDefault="615E6F3C" w:rsidP="615E6F3C">
      <w:pPr>
        <w:pStyle w:val="Paragraphedeliste"/>
        <w:ind w:left="284"/>
      </w:pPr>
    </w:p>
    <w:p w14:paraId="1B29F1E3" w14:textId="77777777" w:rsidR="002114F9" w:rsidRDefault="615E6F3C" w:rsidP="00EC3FF5">
      <w:pPr>
        <w:pStyle w:val="Paragraphedeliste"/>
        <w:ind w:left="284"/>
      </w:pPr>
      <w:r>
        <w:t>Les subventions publiques doivent être liées à la réalisation du projet. Les subventions publiques pour le fonctionnement d’un organisme ne sont pas prises en compte dans le calcul.</w:t>
      </w:r>
    </w:p>
    <w:p w14:paraId="5997CC1D" w14:textId="77777777" w:rsidR="00B41CCC" w:rsidRDefault="00B41CCC" w:rsidP="00EC3FF5">
      <w:pPr>
        <w:pStyle w:val="Paragraphedeliste"/>
        <w:ind w:left="284"/>
      </w:pPr>
    </w:p>
    <w:p w14:paraId="1802308B" w14:textId="77777777" w:rsidR="002114F9" w:rsidRPr="00525743" w:rsidRDefault="615E6F3C" w:rsidP="615E6F3C">
      <w:pPr>
        <w:ind w:left="284"/>
        <w:rPr>
          <w:b/>
          <w:bCs/>
        </w:rPr>
      </w:pPr>
      <w:r w:rsidRPr="615E6F3C">
        <w:rPr>
          <w:b/>
          <w:bCs/>
        </w:rPr>
        <w:t>Exemples</w:t>
      </w:r>
    </w:p>
    <w:p w14:paraId="6B699379" w14:textId="77777777" w:rsidR="002114F9" w:rsidRDefault="002114F9" w:rsidP="00EC3FF5">
      <w:pPr>
        <w:ind w:left="284"/>
        <w:rPr>
          <w:u w:val="single"/>
        </w:rPr>
      </w:pPr>
    </w:p>
    <w:p w14:paraId="38D77061" w14:textId="77777777" w:rsidR="00966E52" w:rsidRPr="006216E7" w:rsidRDefault="615E6F3C" w:rsidP="615E6F3C">
      <w:pPr>
        <w:ind w:left="284"/>
        <w:rPr>
          <w:i/>
          <w:iCs/>
        </w:rPr>
      </w:pPr>
      <w:r w:rsidRPr="615E6F3C">
        <w:rPr>
          <w:i/>
          <w:iCs/>
        </w:rPr>
        <w:t xml:space="preserve">Scénario 1 </w:t>
      </w:r>
    </w:p>
    <w:p w14:paraId="3FE9F23F" w14:textId="77777777" w:rsidR="00966E52" w:rsidRDefault="00966E52" w:rsidP="00EC3FF5">
      <w:pPr>
        <w:ind w:left="284"/>
      </w:pPr>
    </w:p>
    <w:p w14:paraId="42012979" w14:textId="77777777" w:rsidR="006E5D77" w:rsidRDefault="615E6F3C" w:rsidP="006E5D77">
      <w:pPr>
        <w:ind w:left="284"/>
      </w:pPr>
      <w:r>
        <w:t>Un projet a 100 000 $ de dépenses admissibles et a reçu une subvention de 5 000 $ de Patrimoine canadien. L’aide financière demandée par l’entremise du PARC est de 75 000 $.</w:t>
      </w:r>
    </w:p>
    <w:p w14:paraId="1F72F646" w14:textId="77777777" w:rsidR="006E5D77" w:rsidRDefault="006E5D77" w:rsidP="006E5D77">
      <w:pPr>
        <w:ind w:left="284"/>
      </w:pPr>
    </w:p>
    <w:p w14:paraId="6414050C" w14:textId="77777777" w:rsidR="006E5D77" w:rsidRDefault="615E6F3C" w:rsidP="006E5D77">
      <w:pPr>
        <w:ind w:left="284"/>
      </w:pPr>
      <w:r>
        <w:t>Règle du 80 % de subventions publiques :</w:t>
      </w:r>
    </w:p>
    <w:p w14:paraId="08CE6F91" w14:textId="77777777" w:rsidR="006E5D77" w:rsidRDefault="006E5D77" w:rsidP="006E5D77">
      <w:pPr>
        <w:ind w:left="284"/>
      </w:pPr>
    </w:p>
    <w:p w14:paraId="72C549F9" w14:textId="012D05E5" w:rsidR="006E5D77" w:rsidRDefault="615E6F3C" w:rsidP="00A11DFA">
      <w:pPr>
        <w:ind w:left="284"/>
      </w:pPr>
      <w:r>
        <w:t>(Subvention de Patrimoine canadien + aide demandée au SQRC) / dépenses admissibles = pourcentage de subventions publiques</w:t>
      </w:r>
    </w:p>
    <w:p w14:paraId="61CDCEAD" w14:textId="77777777" w:rsidR="006E5D77" w:rsidRDefault="006E5D77" w:rsidP="00A11DFA">
      <w:pPr>
        <w:ind w:left="708"/>
      </w:pPr>
    </w:p>
    <w:p w14:paraId="307B2102" w14:textId="77777777" w:rsidR="006E5D77" w:rsidRDefault="615E6F3C" w:rsidP="00A11DFA">
      <w:pPr>
        <w:ind w:left="708"/>
      </w:pPr>
      <w:r>
        <w:t>(5 000 $ + 75 000 </w:t>
      </w:r>
      <w:proofErr w:type="gramStart"/>
      <w:r>
        <w:t>$)/</w:t>
      </w:r>
      <w:proofErr w:type="gramEnd"/>
      <w:r>
        <w:t>100 000 $ = 80 %</w:t>
      </w:r>
    </w:p>
    <w:p w14:paraId="6BB9E253" w14:textId="77777777" w:rsidR="006E5D77" w:rsidRDefault="006E5D77" w:rsidP="006E5D77">
      <w:pPr>
        <w:ind w:left="284"/>
      </w:pPr>
    </w:p>
    <w:p w14:paraId="5043CB0F" w14:textId="73466369" w:rsidR="00EC3FF5" w:rsidRDefault="615E6F3C" w:rsidP="0078692A">
      <w:pPr>
        <w:ind w:firstLine="284"/>
      </w:pPr>
      <w:r>
        <w:lastRenderedPageBreak/>
        <w:t>La règle est respectée. En conséquence, aucun ajustement n’est nécessaire.</w:t>
      </w:r>
    </w:p>
    <w:p w14:paraId="60B0F1D0" w14:textId="77777777" w:rsidR="0078692A" w:rsidRDefault="0078692A" w:rsidP="615E6F3C">
      <w:pPr>
        <w:ind w:left="284"/>
      </w:pPr>
    </w:p>
    <w:p w14:paraId="06D28CCC" w14:textId="244ED411" w:rsidR="00F95BED" w:rsidRPr="0078692A" w:rsidRDefault="615E6F3C" w:rsidP="615E6F3C">
      <w:pPr>
        <w:ind w:left="284"/>
        <w:rPr>
          <w:i/>
          <w:iCs/>
        </w:rPr>
      </w:pPr>
      <w:r w:rsidRPr="0078692A">
        <w:rPr>
          <w:i/>
        </w:rPr>
        <w:t>Scénario</w:t>
      </w:r>
      <w:r w:rsidR="00904B21" w:rsidRPr="0078692A">
        <w:rPr>
          <w:i/>
          <w:u w:val="single"/>
        </w:rPr>
        <w:t> </w:t>
      </w:r>
      <w:r w:rsidRPr="0078692A">
        <w:rPr>
          <w:i/>
          <w:iCs/>
        </w:rPr>
        <w:t>2</w:t>
      </w:r>
    </w:p>
    <w:p w14:paraId="07459315" w14:textId="77777777" w:rsidR="00EC3FF5" w:rsidRDefault="00EC3FF5" w:rsidP="00EC3FF5">
      <w:pPr>
        <w:ind w:left="284"/>
      </w:pPr>
    </w:p>
    <w:p w14:paraId="2E8C88BF" w14:textId="77777777" w:rsidR="006E5D77" w:rsidRDefault="615E6F3C" w:rsidP="006E5D77">
      <w:pPr>
        <w:ind w:left="284"/>
      </w:pPr>
      <w:r>
        <w:t>Un projet a 30 000 $ de dépenses admissibles, et l’aide financière demandée par l’entremise du PARC est de 25 000 $.</w:t>
      </w:r>
    </w:p>
    <w:p w14:paraId="6537F28F" w14:textId="77777777" w:rsidR="006E5D77" w:rsidRDefault="006E5D77" w:rsidP="006E5D77">
      <w:pPr>
        <w:ind w:left="284"/>
      </w:pPr>
    </w:p>
    <w:p w14:paraId="75440157" w14:textId="77777777" w:rsidR="003C6365" w:rsidRDefault="615E6F3C" w:rsidP="006E5D77">
      <w:pPr>
        <w:ind w:left="284"/>
      </w:pPr>
      <w:r>
        <w:t>Règle du 80 % de subventions publiques :</w:t>
      </w:r>
    </w:p>
    <w:p w14:paraId="6DFB9E20" w14:textId="77777777" w:rsidR="003C6365" w:rsidRDefault="003C6365" w:rsidP="006E5D77">
      <w:pPr>
        <w:ind w:left="284"/>
      </w:pPr>
    </w:p>
    <w:p w14:paraId="2283BA48" w14:textId="2CBAFAA5" w:rsidR="006E5D77" w:rsidRDefault="000270FF" w:rsidP="0078692A">
      <w:pPr>
        <w:ind w:left="284"/>
      </w:pPr>
      <w:r>
        <w:t xml:space="preserve">Aide demandée au SQRC </w:t>
      </w:r>
      <w:r w:rsidR="615E6F3C">
        <w:t>/</w:t>
      </w:r>
      <w:r>
        <w:t> dépenses admissibles</w:t>
      </w:r>
      <w:r w:rsidR="615E6F3C">
        <w:t xml:space="preserve"> </w:t>
      </w:r>
      <w:r>
        <w:t>= pourcentage de subventions publiques</w:t>
      </w:r>
    </w:p>
    <w:p w14:paraId="46B1C40D" w14:textId="77777777" w:rsidR="000270FF" w:rsidRDefault="000270FF" w:rsidP="0078692A">
      <w:pPr>
        <w:ind w:left="284"/>
      </w:pPr>
    </w:p>
    <w:p w14:paraId="1C2E5034" w14:textId="68C34347" w:rsidR="000270FF" w:rsidRDefault="000270FF" w:rsidP="0078692A">
      <w:pPr>
        <w:ind w:left="284"/>
      </w:pPr>
      <w:r>
        <w:t>25 000 $ / 30 000 $ = 83,3 %</w:t>
      </w:r>
    </w:p>
    <w:p w14:paraId="70DF9E56" w14:textId="77777777" w:rsidR="006E5D77" w:rsidRDefault="006E5D77" w:rsidP="006E5D77">
      <w:pPr>
        <w:ind w:left="284"/>
      </w:pPr>
    </w:p>
    <w:p w14:paraId="1F8BEEEF" w14:textId="77777777" w:rsidR="006E5D77" w:rsidRDefault="615E6F3C" w:rsidP="006E5D77">
      <w:pPr>
        <w:ind w:left="284"/>
      </w:pPr>
      <w:r>
        <w:t>La règle du 80 % n’est pas respectée. En conséquence, la subvention du PARC doit être ajustée pour respecter cette règle.</w:t>
      </w:r>
    </w:p>
    <w:p w14:paraId="44E871BC" w14:textId="77777777" w:rsidR="006E5D77" w:rsidRDefault="006E5D77" w:rsidP="006E5D77">
      <w:pPr>
        <w:ind w:left="284"/>
      </w:pPr>
    </w:p>
    <w:p w14:paraId="4129E9E0" w14:textId="77777777" w:rsidR="006E5D77" w:rsidRDefault="615E6F3C" w:rsidP="0078692A">
      <w:pPr>
        <w:ind w:firstLine="284"/>
      </w:pPr>
      <w:r>
        <w:t>Dépenses admissibles x 0,8 = subvention du PARC ajustée</w:t>
      </w:r>
    </w:p>
    <w:p w14:paraId="144A5D23" w14:textId="77777777" w:rsidR="003C6365" w:rsidRDefault="003C6365" w:rsidP="007771E3">
      <w:pPr>
        <w:ind w:left="708"/>
      </w:pPr>
    </w:p>
    <w:p w14:paraId="6B82DB6A" w14:textId="77777777" w:rsidR="006E5D77" w:rsidRDefault="615E6F3C" w:rsidP="0078692A">
      <w:pPr>
        <w:ind w:firstLine="284"/>
      </w:pPr>
      <w:r>
        <w:t>30 000 $ x 0,8 = 24 000 $</w:t>
      </w:r>
    </w:p>
    <w:p w14:paraId="738610EB" w14:textId="77777777" w:rsidR="00966E52" w:rsidRDefault="00966E52" w:rsidP="00EC3FF5">
      <w:pPr>
        <w:ind w:left="284"/>
      </w:pPr>
    </w:p>
    <w:p w14:paraId="637805D2" w14:textId="77777777" w:rsidR="00DF3D5B" w:rsidRDefault="00DF3D5B" w:rsidP="00EC3FF5">
      <w:pPr>
        <w:ind w:left="284"/>
      </w:pPr>
    </w:p>
    <w:p w14:paraId="67017958" w14:textId="77777777" w:rsidR="002114F9" w:rsidRPr="006216E7" w:rsidRDefault="615E6F3C" w:rsidP="615E6F3C">
      <w:pPr>
        <w:ind w:left="284"/>
        <w:rPr>
          <w:i/>
          <w:iCs/>
        </w:rPr>
      </w:pPr>
      <w:r w:rsidRPr="615E6F3C">
        <w:rPr>
          <w:i/>
          <w:iCs/>
        </w:rPr>
        <w:t xml:space="preserve">Scénario 3 </w:t>
      </w:r>
    </w:p>
    <w:p w14:paraId="463F29E8" w14:textId="77777777" w:rsidR="002114F9" w:rsidRDefault="002114F9" w:rsidP="00EC3FF5">
      <w:pPr>
        <w:ind w:left="284"/>
      </w:pPr>
    </w:p>
    <w:p w14:paraId="48006D46" w14:textId="77777777" w:rsidR="002114F9" w:rsidRDefault="615E6F3C" w:rsidP="00EC3FF5">
      <w:pPr>
        <w:ind w:left="284"/>
      </w:pPr>
      <w:r>
        <w:t>Un projet a 100 000 $ de dépenses admissibles et a reçu une subvention de 25 000 $ de Patrimoine canadien. L’aide financière demandée par l’entremise du PARC est de 75 000 $.</w:t>
      </w:r>
    </w:p>
    <w:p w14:paraId="3B7B4B86" w14:textId="77777777" w:rsidR="00F44C29" w:rsidRDefault="00F44C29" w:rsidP="00EC3FF5">
      <w:pPr>
        <w:ind w:left="284"/>
      </w:pPr>
    </w:p>
    <w:p w14:paraId="6339A0BD" w14:textId="77777777" w:rsidR="0033778C" w:rsidRDefault="615E6F3C" w:rsidP="00EC3FF5">
      <w:pPr>
        <w:ind w:left="284"/>
      </w:pPr>
      <w:r>
        <w:t>Règle du 80 % de subventions publiques :</w:t>
      </w:r>
    </w:p>
    <w:p w14:paraId="3A0FF5F2" w14:textId="77777777" w:rsidR="0033778C" w:rsidRDefault="0033778C" w:rsidP="00EC3FF5">
      <w:pPr>
        <w:ind w:left="284"/>
      </w:pPr>
    </w:p>
    <w:p w14:paraId="65518D60" w14:textId="77777777" w:rsidR="0033778C" w:rsidRDefault="615E6F3C" w:rsidP="00A11DFA">
      <w:pPr>
        <w:ind w:left="284"/>
      </w:pPr>
      <w:r>
        <w:t xml:space="preserve">(Subvention de Patrimoine canadien + aide demandée au </w:t>
      </w:r>
      <w:proofErr w:type="gramStart"/>
      <w:r>
        <w:t>SQRC)/</w:t>
      </w:r>
      <w:proofErr w:type="gramEnd"/>
      <w:r>
        <w:t>dépenses admissibles = pourcentage de subventions publiques</w:t>
      </w:r>
    </w:p>
    <w:p w14:paraId="5630AD66" w14:textId="77777777" w:rsidR="0033778C" w:rsidRDefault="0033778C" w:rsidP="00A11DFA">
      <w:pPr>
        <w:ind w:left="708"/>
      </w:pPr>
    </w:p>
    <w:p w14:paraId="5B330EEE" w14:textId="77777777" w:rsidR="0033778C" w:rsidRDefault="615E6F3C" w:rsidP="00A11DFA">
      <w:pPr>
        <w:ind w:left="284"/>
      </w:pPr>
      <w:r>
        <w:t>(25 000 $ + 75 000 </w:t>
      </w:r>
      <w:proofErr w:type="gramStart"/>
      <w:r>
        <w:t>$)/</w:t>
      </w:r>
      <w:proofErr w:type="gramEnd"/>
      <w:r>
        <w:t>100 000 $ = 100 %</w:t>
      </w:r>
    </w:p>
    <w:p w14:paraId="61829076" w14:textId="77777777" w:rsidR="00A75BB7" w:rsidRDefault="00A75BB7" w:rsidP="00EC3FF5">
      <w:pPr>
        <w:ind w:left="284"/>
      </w:pPr>
    </w:p>
    <w:p w14:paraId="5F268103" w14:textId="77777777" w:rsidR="0033778C" w:rsidRDefault="615E6F3C" w:rsidP="00EC3FF5">
      <w:pPr>
        <w:ind w:left="284"/>
      </w:pPr>
      <w:r>
        <w:t>La règle n’est pas respectée. En conséquence, la subvention du PARC doit être ajustée pour respecter cette règle.</w:t>
      </w:r>
    </w:p>
    <w:p w14:paraId="2BA226A1" w14:textId="77777777" w:rsidR="0033778C" w:rsidRDefault="0033778C" w:rsidP="00EC3FF5">
      <w:pPr>
        <w:ind w:left="284"/>
      </w:pPr>
    </w:p>
    <w:p w14:paraId="1B9DA26F" w14:textId="77777777" w:rsidR="0033778C" w:rsidRDefault="615E6F3C" w:rsidP="00EC3FF5">
      <w:pPr>
        <w:ind w:left="284"/>
      </w:pPr>
      <w:r>
        <w:t>(Dépenses admissibles x 0,8) – subvention de Patrimoine canadien = subvention du PARC ajustée</w:t>
      </w:r>
    </w:p>
    <w:p w14:paraId="17AD93B2" w14:textId="77777777" w:rsidR="0033778C" w:rsidRDefault="0033778C" w:rsidP="00EC3FF5">
      <w:pPr>
        <w:ind w:left="284"/>
      </w:pPr>
    </w:p>
    <w:p w14:paraId="31652C5C" w14:textId="77777777" w:rsidR="0033778C" w:rsidRDefault="615E6F3C" w:rsidP="00EC3FF5">
      <w:pPr>
        <w:ind w:left="284"/>
      </w:pPr>
      <w:r>
        <w:t>(100 000 $ x 0,8) – 25 000 $ = 55 000 $</w:t>
      </w:r>
    </w:p>
    <w:p w14:paraId="0DE4B5B7" w14:textId="77777777" w:rsidR="00525743" w:rsidRDefault="00525743" w:rsidP="00EC3FF5">
      <w:pPr>
        <w:ind w:left="284"/>
      </w:pPr>
    </w:p>
    <w:sectPr w:rsidR="00525743" w:rsidSect="00050FDC">
      <w:headerReference w:type="default" r:id="rId8"/>
      <w:footerReference w:type="default" r:id="rId9"/>
      <w:pgSz w:w="12240" w:h="15840"/>
      <w:pgMar w:top="1440" w:right="189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F0D7D" w14:textId="77777777" w:rsidR="005B0717" w:rsidRDefault="005B0717" w:rsidP="00D56859">
      <w:r>
        <w:separator/>
      </w:r>
    </w:p>
  </w:endnote>
  <w:endnote w:type="continuationSeparator" w:id="0">
    <w:p w14:paraId="6B62F1B3" w14:textId="77777777" w:rsidR="005B0717" w:rsidRDefault="005B0717" w:rsidP="00D5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52959"/>
      <w:docPartObj>
        <w:docPartGallery w:val="Page Numbers (Bottom of Page)"/>
        <w:docPartUnique/>
      </w:docPartObj>
    </w:sdtPr>
    <w:sdtEndPr/>
    <w:sdtContent>
      <w:p w14:paraId="407CE2FB" w14:textId="7B62A421" w:rsidR="00D56859" w:rsidRDefault="00D56859">
        <w:pPr>
          <w:pStyle w:val="Pieddepage"/>
          <w:jc w:val="right"/>
        </w:pPr>
        <w:r>
          <w:fldChar w:fldCharType="begin"/>
        </w:r>
        <w:r>
          <w:instrText>PAGE   \* MERGEFORMAT</w:instrText>
        </w:r>
        <w:r>
          <w:fldChar w:fldCharType="separate"/>
        </w:r>
        <w:r w:rsidR="00B11574" w:rsidRPr="00B11574">
          <w:rPr>
            <w:noProof/>
            <w:lang w:val="fr-FR"/>
          </w:rPr>
          <w:t>2</w:t>
        </w:r>
        <w:r>
          <w:fldChar w:fldCharType="end"/>
        </w:r>
      </w:p>
    </w:sdtContent>
  </w:sdt>
  <w:p w14:paraId="66204FF1" w14:textId="77777777" w:rsidR="00D56859" w:rsidRDefault="00D56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4E5D" w14:textId="77777777" w:rsidR="005B0717" w:rsidRDefault="005B0717" w:rsidP="00D56859">
      <w:r>
        <w:separator/>
      </w:r>
    </w:p>
  </w:footnote>
  <w:footnote w:type="continuationSeparator" w:id="0">
    <w:p w14:paraId="19219836" w14:textId="77777777" w:rsidR="005B0717" w:rsidRDefault="005B0717" w:rsidP="00D5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EF7D" w14:textId="4FEB8B14" w:rsidR="00955B49" w:rsidRDefault="000270FF">
    <w:pPr>
      <w:pStyle w:val="En-tte"/>
    </w:pPr>
    <w:r>
      <w:rPr>
        <w:noProof/>
      </w:rPr>
      <w:drawing>
        <wp:inline distT="0" distB="0" distL="0" distR="0" wp14:anchorId="6C295CAF" wp14:editId="5A27E161">
          <wp:extent cx="1326629" cy="549523"/>
          <wp:effectExtent l="0" t="0" r="698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826" cy="549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1A3B"/>
    <w:multiLevelType w:val="hybridMultilevel"/>
    <w:tmpl w:val="039258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A43CCA"/>
    <w:multiLevelType w:val="hybridMultilevel"/>
    <w:tmpl w:val="D012CCD0"/>
    <w:lvl w:ilvl="0" w:tplc="0C0C000D">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 w15:restartNumberingAfterBreak="0">
    <w:nsid w:val="288A6B76"/>
    <w:multiLevelType w:val="hybridMultilevel"/>
    <w:tmpl w:val="D0C800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6C570E"/>
    <w:multiLevelType w:val="hybridMultilevel"/>
    <w:tmpl w:val="4D36741C"/>
    <w:lvl w:ilvl="0" w:tplc="F24CE57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D867F9B"/>
    <w:multiLevelType w:val="hybridMultilevel"/>
    <w:tmpl w:val="5D22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430F0D"/>
    <w:multiLevelType w:val="hybridMultilevel"/>
    <w:tmpl w:val="35869E7E"/>
    <w:lvl w:ilvl="0" w:tplc="F24CE574">
      <w:numFmt w:val="bullet"/>
      <w:lvlText w:val="-"/>
      <w:lvlJc w:val="left"/>
      <w:pPr>
        <w:ind w:left="1008" w:hanging="360"/>
      </w:pPr>
      <w:rPr>
        <w:rFonts w:ascii="Arial" w:eastAsia="Times New Roman" w:hAnsi="Arial" w:cs="Arial" w:hint="default"/>
      </w:rPr>
    </w:lvl>
    <w:lvl w:ilvl="1" w:tplc="0C0C0003" w:tentative="1">
      <w:start w:val="1"/>
      <w:numFmt w:val="bullet"/>
      <w:lvlText w:val="o"/>
      <w:lvlJc w:val="left"/>
      <w:pPr>
        <w:ind w:left="1728" w:hanging="360"/>
      </w:pPr>
      <w:rPr>
        <w:rFonts w:ascii="Courier New" w:hAnsi="Courier New" w:cs="Courier New" w:hint="default"/>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abstractNum w:abstractNumId="6" w15:restartNumberingAfterBreak="0">
    <w:nsid w:val="59846A72"/>
    <w:multiLevelType w:val="hybridMultilevel"/>
    <w:tmpl w:val="8E68952E"/>
    <w:lvl w:ilvl="0" w:tplc="0C0C0009">
      <w:start w:val="1"/>
      <w:numFmt w:val="bullet"/>
      <w:lvlText w:val=""/>
      <w:lvlJc w:val="left"/>
      <w:pPr>
        <w:ind w:left="1211" w:hanging="360"/>
      </w:pPr>
      <w:rPr>
        <w:rFonts w:ascii="Wingdings" w:hAnsi="Wingdings" w:hint="default"/>
      </w:rPr>
    </w:lvl>
    <w:lvl w:ilvl="1" w:tplc="0C0C0003">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7" w15:restartNumberingAfterBreak="0">
    <w:nsid w:val="5D135A38"/>
    <w:multiLevelType w:val="hybridMultilevel"/>
    <w:tmpl w:val="AF2CDC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41A7C04"/>
    <w:multiLevelType w:val="hybridMultilevel"/>
    <w:tmpl w:val="1794D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5AE5F0A"/>
    <w:multiLevelType w:val="hybridMultilevel"/>
    <w:tmpl w:val="F2E0FE56"/>
    <w:lvl w:ilvl="0" w:tplc="3460A21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CC320A0"/>
    <w:multiLevelType w:val="hybridMultilevel"/>
    <w:tmpl w:val="2766DBEE"/>
    <w:lvl w:ilvl="0" w:tplc="0C0C0001">
      <w:start w:val="1"/>
      <w:numFmt w:val="bullet"/>
      <w:lvlText w:val=""/>
      <w:lvlJc w:val="left"/>
      <w:pPr>
        <w:ind w:left="1008" w:hanging="360"/>
      </w:pPr>
      <w:rPr>
        <w:rFonts w:ascii="Symbol" w:hAnsi="Symbol" w:hint="default"/>
      </w:rPr>
    </w:lvl>
    <w:lvl w:ilvl="1" w:tplc="E6AE5CF4">
      <w:numFmt w:val="bullet"/>
      <w:lvlText w:val=""/>
      <w:lvlJc w:val="left"/>
      <w:pPr>
        <w:ind w:left="1728" w:hanging="360"/>
      </w:pPr>
      <w:rPr>
        <w:rFonts w:ascii="Symbol" w:eastAsia="Times New Roman" w:hAnsi="Symbol" w:cs="Times New Roman" w:hint="default"/>
        <w:b/>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num w:numId="1">
    <w:abstractNumId w:val="3"/>
  </w:num>
  <w:num w:numId="2">
    <w:abstractNumId w:val="5"/>
  </w:num>
  <w:num w:numId="3">
    <w:abstractNumId w:val="10"/>
  </w:num>
  <w:num w:numId="4">
    <w:abstractNumId w:val="8"/>
  </w:num>
  <w:num w:numId="5">
    <w:abstractNumId w:val="7"/>
  </w:num>
  <w:num w:numId="6">
    <w:abstractNumId w:val="9"/>
  </w:num>
  <w:num w:numId="7">
    <w:abstractNumId w:val="1"/>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9B"/>
    <w:rsid w:val="0001735E"/>
    <w:rsid w:val="000270FF"/>
    <w:rsid w:val="00050FDC"/>
    <w:rsid w:val="000648C6"/>
    <w:rsid w:val="00086A8C"/>
    <w:rsid w:val="000A2B1A"/>
    <w:rsid w:val="000A667F"/>
    <w:rsid w:val="000A6994"/>
    <w:rsid w:val="000B116B"/>
    <w:rsid w:val="000C0776"/>
    <w:rsid w:val="000E5098"/>
    <w:rsid w:val="0012268A"/>
    <w:rsid w:val="001352FC"/>
    <w:rsid w:val="00174DAB"/>
    <w:rsid w:val="00176DB2"/>
    <w:rsid w:val="001E5DDE"/>
    <w:rsid w:val="002114F9"/>
    <w:rsid w:val="00216459"/>
    <w:rsid w:val="0022008C"/>
    <w:rsid w:val="00232EF8"/>
    <w:rsid w:val="00285972"/>
    <w:rsid w:val="002E5911"/>
    <w:rsid w:val="0033778C"/>
    <w:rsid w:val="003613F4"/>
    <w:rsid w:val="00380EAC"/>
    <w:rsid w:val="00383B8D"/>
    <w:rsid w:val="003C585F"/>
    <w:rsid w:val="003C6365"/>
    <w:rsid w:val="003F3A2B"/>
    <w:rsid w:val="00401DC1"/>
    <w:rsid w:val="00441E05"/>
    <w:rsid w:val="00457ADA"/>
    <w:rsid w:val="004D58F5"/>
    <w:rsid w:val="00515C1B"/>
    <w:rsid w:val="00525743"/>
    <w:rsid w:val="00562820"/>
    <w:rsid w:val="00563109"/>
    <w:rsid w:val="0059685E"/>
    <w:rsid w:val="005B0717"/>
    <w:rsid w:val="005D60FA"/>
    <w:rsid w:val="00610BE8"/>
    <w:rsid w:val="006216E7"/>
    <w:rsid w:val="0066185F"/>
    <w:rsid w:val="00663D04"/>
    <w:rsid w:val="00684656"/>
    <w:rsid w:val="00696A23"/>
    <w:rsid w:val="006A6E81"/>
    <w:rsid w:val="006E219B"/>
    <w:rsid w:val="006E5D77"/>
    <w:rsid w:val="006E7E99"/>
    <w:rsid w:val="006F2023"/>
    <w:rsid w:val="006F6AC1"/>
    <w:rsid w:val="0073282C"/>
    <w:rsid w:val="00773F6F"/>
    <w:rsid w:val="007771E3"/>
    <w:rsid w:val="0078692A"/>
    <w:rsid w:val="007A5967"/>
    <w:rsid w:val="008129AB"/>
    <w:rsid w:val="008364CA"/>
    <w:rsid w:val="008413B6"/>
    <w:rsid w:val="008519D5"/>
    <w:rsid w:val="008914AA"/>
    <w:rsid w:val="008B49F3"/>
    <w:rsid w:val="00904B21"/>
    <w:rsid w:val="00916E7E"/>
    <w:rsid w:val="00955B49"/>
    <w:rsid w:val="00966E52"/>
    <w:rsid w:val="009B18F8"/>
    <w:rsid w:val="009D68D2"/>
    <w:rsid w:val="00A11DFA"/>
    <w:rsid w:val="00A455A4"/>
    <w:rsid w:val="00A45B86"/>
    <w:rsid w:val="00A75BB7"/>
    <w:rsid w:val="00A84175"/>
    <w:rsid w:val="00A95324"/>
    <w:rsid w:val="00AA263F"/>
    <w:rsid w:val="00AC74E6"/>
    <w:rsid w:val="00AD4F0B"/>
    <w:rsid w:val="00AE7E17"/>
    <w:rsid w:val="00B05A0A"/>
    <w:rsid w:val="00B11574"/>
    <w:rsid w:val="00B11FC2"/>
    <w:rsid w:val="00B41CCC"/>
    <w:rsid w:val="00B73BD9"/>
    <w:rsid w:val="00BD4AF3"/>
    <w:rsid w:val="00BD776E"/>
    <w:rsid w:val="00BF3750"/>
    <w:rsid w:val="00C62FA5"/>
    <w:rsid w:val="00CE0961"/>
    <w:rsid w:val="00D10A38"/>
    <w:rsid w:val="00D138E9"/>
    <w:rsid w:val="00D42265"/>
    <w:rsid w:val="00D50985"/>
    <w:rsid w:val="00D56859"/>
    <w:rsid w:val="00DF3D5B"/>
    <w:rsid w:val="00E014AE"/>
    <w:rsid w:val="00E1449D"/>
    <w:rsid w:val="00E2105D"/>
    <w:rsid w:val="00E31D04"/>
    <w:rsid w:val="00E95FD7"/>
    <w:rsid w:val="00EB3AEF"/>
    <w:rsid w:val="00EB564B"/>
    <w:rsid w:val="00EC3FF5"/>
    <w:rsid w:val="00ED1E83"/>
    <w:rsid w:val="00ED3381"/>
    <w:rsid w:val="00F07140"/>
    <w:rsid w:val="00F10225"/>
    <w:rsid w:val="00F14765"/>
    <w:rsid w:val="00F44C29"/>
    <w:rsid w:val="00F95BED"/>
    <w:rsid w:val="00FD13FC"/>
    <w:rsid w:val="615E6F3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14511"/>
  <w15:docId w15:val="{E16F5241-F3DE-4D45-9BCC-73F921A2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16B"/>
    <w:pPr>
      <w:jc w:val="both"/>
    </w:pPr>
    <w:rPr>
      <w:rFonts w:ascii="Arial" w:hAnsi="Arial"/>
      <w:sz w:val="24"/>
      <w:lang w:eastAsia="fr-CA"/>
    </w:rPr>
  </w:style>
  <w:style w:type="paragraph" w:styleId="Titre1">
    <w:name w:val="heading 1"/>
    <w:basedOn w:val="Normal"/>
    <w:next w:val="Normal"/>
    <w:link w:val="Titre1Car"/>
    <w:qFormat/>
    <w:rsid w:val="000B116B"/>
    <w:pPr>
      <w:keepNext/>
      <w:jc w:val="center"/>
      <w:outlineLvl w:val="0"/>
    </w:pPr>
    <w:rPr>
      <w:b/>
      <w:sz w:val="28"/>
    </w:rPr>
  </w:style>
  <w:style w:type="paragraph" w:styleId="Titre2">
    <w:name w:val="heading 2"/>
    <w:basedOn w:val="Normal"/>
    <w:next w:val="Normal"/>
    <w:link w:val="Titre2Car"/>
    <w:semiHidden/>
    <w:unhideWhenUsed/>
    <w:qFormat/>
    <w:rsid w:val="000B1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0B116B"/>
    <w:pPr>
      <w:keepNext/>
      <w:pBdr>
        <w:top w:val="single" w:sz="4" w:space="1" w:color="auto"/>
        <w:left w:val="single" w:sz="4" w:space="4" w:color="auto"/>
        <w:bottom w:val="single" w:sz="4" w:space="1" w:color="auto"/>
        <w:right w:val="single" w:sz="4" w:space="4" w:color="auto"/>
      </w:pBdr>
      <w:ind w:right="4590"/>
      <w:jc w:val="left"/>
      <w:outlineLvl w:val="3"/>
    </w:pPr>
    <w:rPr>
      <w:b/>
      <w:sz w:val="28"/>
    </w:rPr>
  </w:style>
  <w:style w:type="paragraph" w:styleId="Titre5">
    <w:name w:val="heading 5"/>
    <w:basedOn w:val="Normal"/>
    <w:next w:val="Normal"/>
    <w:link w:val="Titre5Car"/>
    <w:semiHidden/>
    <w:unhideWhenUsed/>
    <w:qFormat/>
    <w:rsid w:val="000B116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0B116B"/>
    <w:pPr>
      <w:ind w:left="720"/>
      <w:contextualSpacing/>
      <w:jc w:val="left"/>
    </w:pPr>
    <w:rPr>
      <w:rFonts w:ascii="Univers" w:hAnsi="Univers"/>
    </w:rPr>
  </w:style>
  <w:style w:type="paragraph" w:customStyle="1" w:styleId="TableParagraph">
    <w:name w:val="Table Paragraph"/>
    <w:basedOn w:val="Normal"/>
    <w:uiPriority w:val="1"/>
    <w:qFormat/>
    <w:rsid w:val="000B116B"/>
    <w:pPr>
      <w:widowControl w:val="0"/>
      <w:jc w:val="left"/>
    </w:pPr>
    <w:rPr>
      <w:rFonts w:ascii="Calibri" w:eastAsia="Calibri" w:hAnsi="Calibri"/>
      <w:sz w:val="22"/>
      <w:szCs w:val="22"/>
      <w:lang w:val="en-US" w:eastAsia="en-US"/>
    </w:rPr>
  </w:style>
  <w:style w:type="character" w:customStyle="1" w:styleId="Titre1Car">
    <w:name w:val="Titre 1 Car"/>
    <w:basedOn w:val="Policepardfaut"/>
    <w:link w:val="Titre1"/>
    <w:rsid w:val="000B116B"/>
    <w:rPr>
      <w:rFonts w:ascii="Arial" w:hAnsi="Arial"/>
      <w:b/>
      <w:sz w:val="28"/>
      <w:lang w:eastAsia="fr-CA"/>
    </w:rPr>
  </w:style>
  <w:style w:type="character" w:customStyle="1" w:styleId="Titre2Car">
    <w:name w:val="Titre 2 Car"/>
    <w:basedOn w:val="Policepardfaut"/>
    <w:link w:val="Titre2"/>
    <w:semiHidden/>
    <w:rsid w:val="000B116B"/>
    <w:rPr>
      <w:rFonts w:asciiTheme="majorHAnsi" w:eastAsiaTheme="majorEastAsia" w:hAnsiTheme="majorHAnsi" w:cstheme="majorBidi"/>
      <w:b/>
      <w:bCs/>
      <w:color w:val="4F81BD" w:themeColor="accent1"/>
      <w:sz w:val="26"/>
      <w:szCs w:val="26"/>
      <w:lang w:eastAsia="fr-CA"/>
    </w:rPr>
  </w:style>
  <w:style w:type="character" w:customStyle="1" w:styleId="Titre4Car">
    <w:name w:val="Titre 4 Car"/>
    <w:basedOn w:val="Policepardfaut"/>
    <w:link w:val="Titre4"/>
    <w:rsid w:val="000B116B"/>
    <w:rPr>
      <w:rFonts w:ascii="Arial" w:hAnsi="Arial"/>
      <w:b/>
      <w:sz w:val="28"/>
      <w:lang w:eastAsia="fr-CA"/>
    </w:rPr>
  </w:style>
  <w:style w:type="character" w:customStyle="1" w:styleId="Titre5Car">
    <w:name w:val="Titre 5 Car"/>
    <w:basedOn w:val="Policepardfaut"/>
    <w:link w:val="Titre5"/>
    <w:semiHidden/>
    <w:rsid w:val="000B116B"/>
    <w:rPr>
      <w:rFonts w:asciiTheme="majorHAnsi" w:eastAsiaTheme="majorEastAsia" w:hAnsiTheme="majorHAnsi" w:cstheme="majorBidi"/>
      <w:color w:val="243F60" w:themeColor="accent1" w:themeShade="7F"/>
      <w:sz w:val="24"/>
      <w:lang w:eastAsia="fr-CA"/>
    </w:rPr>
  </w:style>
  <w:style w:type="paragraph" w:styleId="Corpsdetexte">
    <w:name w:val="Body Text"/>
    <w:basedOn w:val="Normal"/>
    <w:link w:val="CorpsdetexteCar"/>
    <w:uiPriority w:val="1"/>
    <w:qFormat/>
    <w:rsid w:val="000B116B"/>
    <w:pPr>
      <w:widowControl w:val="0"/>
      <w:ind w:left="102"/>
      <w:jc w:val="left"/>
    </w:pPr>
    <w:rPr>
      <w:rFonts w:ascii="Times New Roman" w:hAnsi="Times New Roman"/>
      <w:szCs w:val="24"/>
      <w:lang w:val="en-US" w:eastAsia="en-US"/>
    </w:rPr>
  </w:style>
  <w:style w:type="character" w:customStyle="1" w:styleId="CorpsdetexteCar">
    <w:name w:val="Corps de texte Car"/>
    <w:basedOn w:val="Policepardfaut"/>
    <w:link w:val="Corpsdetexte"/>
    <w:uiPriority w:val="1"/>
    <w:rsid w:val="000B116B"/>
    <w:rPr>
      <w:sz w:val="24"/>
      <w:szCs w:val="24"/>
      <w:lang w:val="en-US"/>
    </w:rPr>
  </w:style>
  <w:style w:type="character" w:styleId="Accentuation">
    <w:name w:val="Emphasis"/>
    <w:basedOn w:val="Policepardfaut"/>
    <w:uiPriority w:val="20"/>
    <w:qFormat/>
    <w:rsid w:val="000B116B"/>
    <w:rPr>
      <w:i/>
      <w:iCs/>
      <w:sz w:val="24"/>
      <w:szCs w:val="24"/>
      <w:bdr w:val="none" w:sz="0" w:space="0" w:color="auto" w:frame="1"/>
      <w:vertAlign w:val="baseline"/>
    </w:rPr>
  </w:style>
  <w:style w:type="paragraph" w:styleId="Paragraphedeliste">
    <w:name w:val="List Paragraph"/>
    <w:basedOn w:val="Normal"/>
    <w:uiPriority w:val="34"/>
    <w:qFormat/>
    <w:rsid w:val="000B116B"/>
    <w:pPr>
      <w:ind w:left="720"/>
      <w:contextualSpacing/>
    </w:pPr>
  </w:style>
  <w:style w:type="character" w:styleId="Lienhypertexte">
    <w:name w:val="Hyperlink"/>
    <w:basedOn w:val="Policepardfaut"/>
    <w:uiPriority w:val="99"/>
    <w:unhideWhenUsed/>
    <w:rsid w:val="000A6994"/>
    <w:rPr>
      <w:color w:val="0000FF" w:themeColor="hyperlink"/>
      <w:u w:val="single"/>
    </w:rPr>
  </w:style>
  <w:style w:type="paragraph" w:styleId="Textedebulles">
    <w:name w:val="Balloon Text"/>
    <w:basedOn w:val="Normal"/>
    <w:link w:val="TextedebullesCar"/>
    <w:uiPriority w:val="99"/>
    <w:semiHidden/>
    <w:unhideWhenUsed/>
    <w:rsid w:val="000A2B1A"/>
    <w:rPr>
      <w:rFonts w:ascii="Tahoma" w:hAnsi="Tahoma" w:cs="Tahoma"/>
      <w:sz w:val="16"/>
      <w:szCs w:val="16"/>
    </w:rPr>
  </w:style>
  <w:style w:type="character" w:customStyle="1" w:styleId="TextedebullesCar">
    <w:name w:val="Texte de bulles Car"/>
    <w:basedOn w:val="Policepardfaut"/>
    <w:link w:val="Textedebulles"/>
    <w:uiPriority w:val="99"/>
    <w:semiHidden/>
    <w:rsid w:val="000A2B1A"/>
    <w:rPr>
      <w:rFonts w:ascii="Tahoma" w:hAnsi="Tahoma" w:cs="Tahoma"/>
      <w:sz w:val="16"/>
      <w:szCs w:val="16"/>
      <w:lang w:eastAsia="fr-CA"/>
    </w:rPr>
  </w:style>
  <w:style w:type="character" w:styleId="Marquedecommentaire">
    <w:name w:val="annotation reference"/>
    <w:basedOn w:val="Policepardfaut"/>
    <w:uiPriority w:val="99"/>
    <w:semiHidden/>
    <w:unhideWhenUsed/>
    <w:rsid w:val="00BF3750"/>
    <w:rPr>
      <w:sz w:val="16"/>
      <w:szCs w:val="16"/>
    </w:rPr>
  </w:style>
  <w:style w:type="paragraph" w:styleId="Commentaire">
    <w:name w:val="annotation text"/>
    <w:basedOn w:val="Normal"/>
    <w:link w:val="CommentaireCar"/>
    <w:uiPriority w:val="99"/>
    <w:semiHidden/>
    <w:unhideWhenUsed/>
    <w:rsid w:val="00BF3750"/>
    <w:rPr>
      <w:sz w:val="20"/>
    </w:rPr>
  </w:style>
  <w:style w:type="character" w:customStyle="1" w:styleId="CommentaireCar">
    <w:name w:val="Commentaire Car"/>
    <w:basedOn w:val="Policepardfaut"/>
    <w:link w:val="Commentaire"/>
    <w:uiPriority w:val="99"/>
    <w:semiHidden/>
    <w:rsid w:val="00BF3750"/>
    <w:rPr>
      <w:rFonts w:ascii="Arial" w:hAnsi="Arial"/>
      <w:lang w:eastAsia="fr-CA"/>
    </w:rPr>
  </w:style>
  <w:style w:type="paragraph" w:styleId="Objetducommentaire">
    <w:name w:val="annotation subject"/>
    <w:basedOn w:val="Commentaire"/>
    <w:next w:val="Commentaire"/>
    <w:link w:val="ObjetducommentaireCar"/>
    <w:uiPriority w:val="99"/>
    <w:semiHidden/>
    <w:unhideWhenUsed/>
    <w:rsid w:val="00BF3750"/>
    <w:rPr>
      <w:b/>
      <w:bCs/>
    </w:rPr>
  </w:style>
  <w:style w:type="character" w:customStyle="1" w:styleId="ObjetducommentaireCar">
    <w:name w:val="Objet du commentaire Car"/>
    <w:basedOn w:val="CommentaireCar"/>
    <w:link w:val="Objetducommentaire"/>
    <w:uiPriority w:val="99"/>
    <w:semiHidden/>
    <w:rsid w:val="00BF3750"/>
    <w:rPr>
      <w:rFonts w:ascii="Arial" w:hAnsi="Arial"/>
      <w:b/>
      <w:bCs/>
      <w:lang w:eastAsia="fr-CA"/>
    </w:rPr>
  </w:style>
  <w:style w:type="paragraph" w:styleId="Rvision">
    <w:name w:val="Revision"/>
    <w:hidden/>
    <w:uiPriority w:val="99"/>
    <w:semiHidden/>
    <w:rsid w:val="00BF3750"/>
    <w:rPr>
      <w:rFonts w:ascii="Arial" w:hAnsi="Arial"/>
      <w:sz w:val="24"/>
      <w:lang w:eastAsia="fr-CA"/>
    </w:rPr>
  </w:style>
  <w:style w:type="paragraph" w:styleId="En-tte">
    <w:name w:val="header"/>
    <w:basedOn w:val="Normal"/>
    <w:link w:val="En-tteCar"/>
    <w:uiPriority w:val="99"/>
    <w:unhideWhenUsed/>
    <w:rsid w:val="00D56859"/>
    <w:pPr>
      <w:tabs>
        <w:tab w:val="center" w:pos="4320"/>
        <w:tab w:val="right" w:pos="8640"/>
      </w:tabs>
    </w:pPr>
  </w:style>
  <w:style w:type="character" w:customStyle="1" w:styleId="En-tteCar">
    <w:name w:val="En-tête Car"/>
    <w:basedOn w:val="Policepardfaut"/>
    <w:link w:val="En-tte"/>
    <w:uiPriority w:val="99"/>
    <w:rsid w:val="00D56859"/>
    <w:rPr>
      <w:rFonts w:ascii="Arial" w:hAnsi="Arial"/>
      <w:sz w:val="24"/>
      <w:lang w:eastAsia="fr-CA"/>
    </w:rPr>
  </w:style>
  <w:style w:type="paragraph" w:styleId="Pieddepage">
    <w:name w:val="footer"/>
    <w:basedOn w:val="Normal"/>
    <w:link w:val="PieddepageCar"/>
    <w:uiPriority w:val="99"/>
    <w:unhideWhenUsed/>
    <w:rsid w:val="00D56859"/>
    <w:pPr>
      <w:tabs>
        <w:tab w:val="center" w:pos="4320"/>
        <w:tab w:val="right" w:pos="8640"/>
      </w:tabs>
    </w:pPr>
  </w:style>
  <w:style w:type="character" w:customStyle="1" w:styleId="PieddepageCar">
    <w:name w:val="Pied de page Car"/>
    <w:basedOn w:val="Policepardfaut"/>
    <w:link w:val="Pieddepage"/>
    <w:uiPriority w:val="99"/>
    <w:rsid w:val="00D56859"/>
    <w:rPr>
      <w:rFonts w:ascii="Arial" w:hAnsi="Arial"/>
      <w:sz w:val="24"/>
      <w:lang w:eastAsia="fr-CA"/>
    </w:rPr>
  </w:style>
  <w:style w:type="character" w:styleId="Lienhypertextesuivivisit">
    <w:name w:val="FollowedHyperlink"/>
    <w:basedOn w:val="Policepardfaut"/>
    <w:uiPriority w:val="99"/>
    <w:semiHidden/>
    <w:unhideWhenUsed/>
    <w:rsid w:val="00F14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qrc.gouv.qc.ca/relations-canadiennes/programme-appui-rel-can/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3970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du Conseil exécutif</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Dumont</dc:creator>
  <cp:lastModifiedBy>Wood, Alex Stephen</cp:lastModifiedBy>
  <cp:revision>3</cp:revision>
  <cp:lastPrinted>2018-12-20T20:25:00Z</cp:lastPrinted>
  <dcterms:created xsi:type="dcterms:W3CDTF">2021-04-15T18:08:00Z</dcterms:created>
  <dcterms:modified xsi:type="dcterms:W3CDTF">2021-04-15T18:08:00Z</dcterms:modified>
</cp:coreProperties>
</file>